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F696" w14:textId="2EF0116F" w:rsidR="00F14BB4" w:rsidRPr="00AF1C3F" w:rsidRDefault="00F14BB4" w:rsidP="00F14BB4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proofErr w:type="spellStart"/>
      <w:r>
        <w:rPr>
          <w:color w:val="000000" w:themeColor="text1"/>
          <w:sz w:val="52"/>
          <w:szCs w:val="52"/>
        </w:rPr>
        <w:t>šarole</w:t>
      </w:r>
      <w:proofErr w:type="spellEnd"/>
      <w:r w:rsidRPr="00AF1C3F">
        <w:rPr>
          <w:color w:val="000000" w:themeColor="text1"/>
          <w:sz w:val="52"/>
          <w:szCs w:val="52"/>
        </w:rPr>
        <w:t xml:space="preserve"> »</w:t>
      </w:r>
      <w:r w:rsidR="000B3949">
        <w:rPr>
          <w:color w:val="000000" w:themeColor="text1"/>
          <w:sz w:val="52"/>
          <w:szCs w:val="52"/>
        </w:rPr>
        <w:t>ANALOGNI</w:t>
      </w:r>
      <w:r w:rsidRPr="00AF1C3F">
        <w:rPr>
          <w:color w:val="000000" w:themeColor="text1"/>
          <w:sz w:val="52"/>
          <w:szCs w:val="52"/>
        </w:rPr>
        <w:t>«</w:t>
      </w:r>
    </w:p>
    <w:p w14:paraId="421516B0" w14:textId="06746DB1" w:rsidR="00BA4057" w:rsidRDefault="00F14BB4" w:rsidP="00F14BB4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466CEEB0" w14:textId="77777777" w:rsidR="00BA4057" w:rsidRDefault="00BA4057" w:rsidP="00BA4057">
      <w:pPr>
        <w:pStyle w:val="Navadensplet"/>
      </w:pPr>
      <w:r>
        <w:rPr>
          <w:noProof/>
        </w:rPr>
        <w:drawing>
          <wp:inline distT="0" distB="0" distL="0" distR="0" wp14:anchorId="5C0DB5C5" wp14:editId="40ADF408">
            <wp:extent cx="5548235" cy="34810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634" cy="349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F7F9" w14:textId="5B6D3144" w:rsidR="00F14BB4" w:rsidRPr="00D962DC" w:rsidRDefault="00F14BB4" w:rsidP="00F14BB4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0B3949">
        <w:rPr>
          <w:color w:val="000000" w:themeColor="text1"/>
          <w:sz w:val="40"/>
          <w:szCs w:val="40"/>
        </w:rPr>
        <w:t>05802089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0B3949">
        <w:rPr>
          <w:color w:val="000000" w:themeColor="text1"/>
          <w:sz w:val="40"/>
          <w:szCs w:val="40"/>
        </w:rPr>
        <w:t>ANALOGNI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>
        <w:rPr>
          <w:color w:val="000000" w:themeColor="text1"/>
          <w:sz w:val="40"/>
          <w:szCs w:val="40"/>
        </w:rPr>
        <w:t>0</w:t>
      </w:r>
      <w:r w:rsidR="000B3949">
        <w:rPr>
          <w:color w:val="000000" w:themeColor="text1"/>
          <w:sz w:val="40"/>
          <w:szCs w:val="40"/>
        </w:rPr>
        <w:t>3</w:t>
      </w:r>
      <w:r w:rsidRPr="008D5F81">
        <w:rPr>
          <w:color w:val="000000" w:themeColor="text1"/>
          <w:sz w:val="40"/>
          <w:szCs w:val="40"/>
        </w:rPr>
        <w:t>.0</w:t>
      </w:r>
      <w:r w:rsidR="000B3949">
        <w:rPr>
          <w:color w:val="000000" w:themeColor="text1"/>
          <w:sz w:val="40"/>
          <w:szCs w:val="40"/>
        </w:rPr>
        <w:t>3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0B3949">
        <w:rPr>
          <w:color w:val="000000" w:themeColor="text1"/>
          <w:sz w:val="40"/>
          <w:szCs w:val="40"/>
        </w:rPr>
        <w:t>Gordan Perenič</w:t>
      </w:r>
      <w:r w:rsidRPr="00D962DC">
        <w:rPr>
          <w:color w:val="000000" w:themeColor="text1"/>
          <w:sz w:val="40"/>
          <w:szCs w:val="40"/>
        </w:rPr>
        <w:t xml:space="preserve">, </w:t>
      </w:r>
      <w:r w:rsidR="000B3949">
        <w:rPr>
          <w:color w:val="000000" w:themeColor="text1"/>
          <w:sz w:val="40"/>
          <w:szCs w:val="40"/>
        </w:rPr>
        <w:t>Selce</w:t>
      </w:r>
      <w:r>
        <w:rPr>
          <w:color w:val="000000" w:themeColor="text1"/>
          <w:sz w:val="40"/>
          <w:szCs w:val="40"/>
        </w:rPr>
        <w:t>, kat.: PP-V</w:t>
      </w:r>
    </w:p>
    <w:p w14:paraId="6D460729" w14:textId="77777777" w:rsidR="00F14BB4" w:rsidRPr="00BA4057" w:rsidRDefault="00F14BB4" w:rsidP="00F14BB4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328DABE7" w14:textId="3EE451FF" w:rsidR="00F14BB4" w:rsidRDefault="00D14CFC" w:rsidP="00F14BB4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Analogni</w:t>
      </w:r>
      <w:r w:rsidR="00F14BB4">
        <w:rPr>
          <w:sz w:val="36"/>
          <w:szCs w:val="36"/>
        </w:rPr>
        <w:t xml:space="preserve"> je potomec francoskih</w:t>
      </w:r>
      <w:r>
        <w:rPr>
          <w:sz w:val="36"/>
          <w:szCs w:val="36"/>
        </w:rPr>
        <w:t xml:space="preserve"> in</w:t>
      </w:r>
      <w:r w:rsidR="00F14BB4">
        <w:rPr>
          <w:sz w:val="36"/>
          <w:szCs w:val="36"/>
        </w:rPr>
        <w:t xml:space="preserve"> slovenskih linij. </w:t>
      </w:r>
      <w:r>
        <w:rPr>
          <w:sz w:val="36"/>
          <w:szCs w:val="36"/>
        </w:rPr>
        <w:t>Bik z nizko rojstno težo se je v</w:t>
      </w:r>
      <w:r w:rsidR="00F14BB4">
        <w:rPr>
          <w:sz w:val="36"/>
          <w:szCs w:val="36"/>
        </w:rPr>
        <w:t xml:space="preserve">es čas rasti odlikoval po visokih dnevnih prirastih. Na osnovi ocen zunanjosti in dnevnih prirastov ga je komisija </w:t>
      </w:r>
      <w:r>
        <w:rPr>
          <w:sz w:val="36"/>
          <w:szCs w:val="36"/>
        </w:rPr>
        <w:t>ocenila kot primernega za naravni pripust</w:t>
      </w:r>
      <w:r w:rsidR="00F14BB4">
        <w:rPr>
          <w:sz w:val="36"/>
          <w:szCs w:val="36"/>
        </w:rPr>
        <w:t>. Je predstavnik vzrejnega tipa bikov.</w:t>
      </w:r>
    </w:p>
    <w:p w14:paraId="00088813" w14:textId="77777777" w:rsidR="00F14BB4" w:rsidRDefault="00F14BB4" w:rsidP="00F14BB4">
      <w:pPr>
        <w:spacing w:after="120"/>
        <w:jc w:val="both"/>
        <w:rPr>
          <w:sz w:val="36"/>
          <w:szCs w:val="36"/>
        </w:rPr>
      </w:pPr>
    </w:p>
    <w:p w14:paraId="3283218D" w14:textId="77777777" w:rsidR="00F14BB4" w:rsidRDefault="00F14BB4" w:rsidP="00F14BB4">
      <w:pPr>
        <w:spacing w:after="120"/>
        <w:jc w:val="both"/>
        <w:rPr>
          <w:sz w:val="36"/>
          <w:szCs w:val="36"/>
        </w:rPr>
      </w:pPr>
    </w:p>
    <w:p w14:paraId="0FB1458F" w14:textId="77777777" w:rsidR="00872194" w:rsidRDefault="00872194" w:rsidP="00F14BB4">
      <w:pPr>
        <w:spacing w:after="120"/>
        <w:jc w:val="both"/>
        <w:rPr>
          <w:sz w:val="36"/>
          <w:szCs w:val="36"/>
        </w:rPr>
      </w:pPr>
    </w:p>
    <w:p w14:paraId="6BAAE507" w14:textId="77777777" w:rsidR="00F14BB4" w:rsidRDefault="00F14BB4" w:rsidP="00F14BB4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F14BB4" w:rsidRPr="00A90757" w14:paraId="47219409" w14:textId="77777777" w:rsidTr="00E4373C">
        <w:tc>
          <w:tcPr>
            <w:tcW w:w="4530" w:type="dxa"/>
            <w:gridSpan w:val="5"/>
          </w:tcPr>
          <w:p w14:paraId="16213056" w14:textId="77777777" w:rsidR="00F14BB4" w:rsidRPr="00A90757" w:rsidRDefault="00F14BB4" w:rsidP="00E4373C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2481136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1C90068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F14BB4" w:rsidRPr="00A90757" w14:paraId="1CB9963F" w14:textId="77777777" w:rsidTr="00E4373C">
        <w:tc>
          <w:tcPr>
            <w:tcW w:w="906" w:type="dxa"/>
          </w:tcPr>
          <w:p w14:paraId="6E38F9A7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ACE7A73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E3C4E23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A8E960A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B1EEB40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C33EC7C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F04432A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01916E50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341B48D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4AB8559F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F14BB4" w:rsidRPr="00A90757" w14:paraId="19D4E6C6" w14:textId="77777777" w:rsidTr="00E4373C">
        <w:tc>
          <w:tcPr>
            <w:tcW w:w="906" w:type="dxa"/>
          </w:tcPr>
          <w:p w14:paraId="16C5AE6E" w14:textId="57DBF541" w:rsidR="00F14BB4" w:rsidRPr="00A90757" w:rsidRDefault="005810F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06" w:type="dxa"/>
          </w:tcPr>
          <w:p w14:paraId="38C166A3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6E8B494A" w14:textId="2B2619FD" w:rsidR="00F14BB4" w:rsidRPr="00A90757" w:rsidRDefault="005810F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906" w:type="dxa"/>
          </w:tcPr>
          <w:p w14:paraId="7087800F" w14:textId="5E0F2DCD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10F4">
              <w:rPr>
                <w:sz w:val="24"/>
                <w:szCs w:val="24"/>
              </w:rPr>
              <w:t>27</w:t>
            </w:r>
          </w:p>
        </w:tc>
        <w:tc>
          <w:tcPr>
            <w:tcW w:w="906" w:type="dxa"/>
          </w:tcPr>
          <w:p w14:paraId="1948BA1C" w14:textId="4D2999B1" w:rsidR="00F14BB4" w:rsidRPr="00A90757" w:rsidRDefault="005810F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906" w:type="dxa"/>
          </w:tcPr>
          <w:p w14:paraId="161884FD" w14:textId="77777777" w:rsidR="00F14BB4" w:rsidRPr="00A90757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45B295F5" w14:textId="17C10B2F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5810F4">
              <w:rPr>
                <w:color w:val="2E74B5" w:themeColor="accent5" w:themeShade="BF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F2FACBF" w14:textId="77777777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130305F0" w14:textId="276ACD1B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1</w:t>
            </w:r>
            <w:r w:rsidR="005810F4">
              <w:rPr>
                <w:color w:val="2E74B5" w:themeColor="accent5" w:themeShade="BF"/>
                <w:sz w:val="24"/>
                <w:szCs w:val="24"/>
              </w:rPr>
              <w:t>174</w:t>
            </w:r>
          </w:p>
        </w:tc>
        <w:tc>
          <w:tcPr>
            <w:tcW w:w="1054" w:type="dxa"/>
          </w:tcPr>
          <w:p w14:paraId="7607870D" w14:textId="5F622025" w:rsidR="00F14BB4" w:rsidRPr="00E92DD1" w:rsidRDefault="00F14BB4" w:rsidP="00E4373C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1</w:t>
            </w:r>
            <w:r w:rsidR="005810F4">
              <w:rPr>
                <w:color w:val="2E74B5" w:themeColor="accent5" w:themeShade="BF"/>
                <w:sz w:val="24"/>
                <w:szCs w:val="24"/>
              </w:rPr>
              <w:t>173</w:t>
            </w:r>
          </w:p>
        </w:tc>
      </w:tr>
    </w:tbl>
    <w:p w14:paraId="17A606E2" w14:textId="77777777" w:rsidR="00F14BB4" w:rsidRDefault="00F14BB4" w:rsidP="00F14BB4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F14BB4" w:rsidRPr="002D6B5D" w14:paraId="057E5E5C" w14:textId="77777777" w:rsidTr="00E4373C">
        <w:tc>
          <w:tcPr>
            <w:tcW w:w="3539" w:type="dxa"/>
            <w:gridSpan w:val="2"/>
          </w:tcPr>
          <w:p w14:paraId="5762D47B" w14:textId="77777777" w:rsidR="00F14BB4" w:rsidRPr="002D6B5D" w:rsidRDefault="00F14BB4" w:rsidP="00E4373C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F14BB4" w14:paraId="08D1FA7B" w14:textId="77777777" w:rsidTr="00E4373C">
        <w:tc>
          <w:tcPr>
            <w:tcW w:w="2405" w:type="dxa"/>
          </w:tcPr>
          <w:p w14:paraId="5BF6A392" w14:textId="77777777" w:rsidR="00F14BB4" w:rsidRDefault="00F14BB4" w:rsidP="00E4373C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FEE0211" w14:textId="0D8A0EC0" w:rsidR="00F14BB4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2357D">
              <w:rPr>
                <w:sz w:val="24"/>
                <w:szCs w:val="24"/>
              </w:rPr>
              <w:t>0</w:t>
            </w:r>
          </w:p>
        </w:tc>
      </w:tr>
      <w:tr w:rsidR="00F14BB4" w14:paraId="4A3E0618" w14:textId="77777777" w:rsidTr="00E4373C">
        <w:tc>
          <w:tcPr>
            <w:tcW w:w="2405" w:type="dxa"/>
          </w:tcPr>
          <w:p w14:paraId="7A82EBEA" w14:textId="77777777" w:rsidR="00F14BB4" w:rsidRDefault="00F14BB4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0BA168CC" w14:textId="2AD65D78" w:rsidR="00F14BB4" w:rsidRDefault="00C2357D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14BB4" w14:paraId="34D35B41" w14:textId="77777777" w:rsidTr="00E4373C">
        <w:tc>
          <w:tcPr>
            <w:tcW w:w="2405" w:type="dxa"/>
          </w:tcPr>
          <w:p w14:paraId="487C9219" w14:textId="77777777" w:rsidR="00F14BB4" w:rsidRDefault="00F14BB4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DFD9894" w14:textId="4CEA67E8" w:rsidR="00F14BB4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357D">
              <w:rPr>
                <w:sz w:val="24"/>
                <w:szCs w:val="24"/>
              </w:rPr>
              <w:t>0</w:t>
            </w:r>
          </w:p>
        </w:tc>
      </w:tr>
      <w:tr w:rsidR="00F14BB4" w14:paraId="59BF2C72" w14:textId="77777777" w:rsidTr="00E4373C">
        <w:tc>
          <w:tcPr>
            <w:tcW w:w="2405" w:type="dxa"/>
          </w:tcPr>
          <w:p w14:paraId="2B609F43" w14:textId="77777777" w:rsidR="00F14BB4" w:rsidRDefault="00F14BB4" w:rsidP="00E4373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4CA8E3B" w14:textId="77777777" w:rsidR="00F14BB4" w:rsidRDefault="00F14BB4" w:rsidP="00E4373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16190867" w14:textId="77777777" w:rsidR="00F14BB4" w:rsidRDefault="00F14BB4" w:rsidP="00F14BB4">
      <w:pPr>
        <w:spacing w:after="120"/>
        <w:jc w:val="both"/>
        <w:rPr>
          <w:sz w:val="24"/>
          <w:szCs w:val="24"/>
        </w:rPr>
      </w:pPr>
    </w:p>
    <w:p w14:paraId="59641BFA" w14:textId="77777777" w:rsidR="00F14BB4" w:rsidRDefault="00F14BB4" w:rsidP="00F14BB4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70922760" w14:textId="77777777" w:rsidR="00F14BB4" w:rsidRDefault="00F14BB4" w:rsidP="00F14BB4"/>
    <w:p w14:paraId="31FD7ABF" w14:textId="77777777" w:rsidR="00F14BB4" w:rsidRDefault="00F14BB4" w:rsidP="00F14BB4"/>
    <w:p w14:paraId="7B3064A4" w14:textId="77777777" w:rsidR="00BE3AB2" w:rsidRDefault="00BE3AB2"/>
    <w:sectPr w:rsidR="00BE3AB2" w:rsidSect="00F1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B4"/>
    <w:rsid w:val="000B3949"/>
    <w:rsid w:val="0013390D"/>
    <w:rsid w:val="00304F27"/>
    <w:rsid w:val="005810F4"/>
    <w:rsid w:val="00872194"/>
    <w:rsid w:val="009F25B5"/>
    <w:rsid w:val="00BA4057"/>
    <w:rsid w:val="00BE3AB2"/>
    <w:rsid w:val="00C2357D"/>
    <w:rsid w:val="00D14CFC"/>
    <w:rsid w:val="00F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1583"/>
  <w15:chartTrackingRefBased/>
  <w15:docId w15:val="{40DF98A4-34AA-4DCD-9C76-0125405B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4BB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4B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1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2024-05-21T06:19:00Z</dcterms:created>
  <dcterms:modified xsi:type="dcterms:W3CDTF">2024-05-21T07:24:00Z</dcterms:modified>
</cp:coreProperties>
</file>